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096"/>
        <w:gridCol w:w="3969"/>
      </w:tblGrid>
      <w:tr w:rsidR="006F429D" w:rsidRPr="00A31D13" w:rsidTr="002D3317">
        <w:tc>
          <w:tcPr>
            <w:tcW w:w="6096" w:type="dxa"/>
            <w:shd w:val="clear" w:color="auto" w:fill="auto"/>
          </w:tcPr>
          <w:p w:rsidR="006F429D" w:rsidRPr="00EE610F" w:rsidRDefault="006A0F5C" w:rsidP="006A0F5C">
            <w:pPr>
              <w:tabs>
                <w:tab w:val="left" w:pos="1350"/>
              </w:tabs>
              <w:spacing w:before="120" w:after="40"/>
              <w:jc w:val="both"/>
              <w:rPr>
                <w:rFonts w:ascii="Trebuchet MS" w:hAnsi="Trebuchet MS"/>
                <w:noProof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1057B5C3" wp14:editId="0FE4C419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-433070</wp:posOffset>
                  </wp:positionV>
                  <wp:extent cx="1466850" cy="581025"/>
                  <wp:effectExtent l="0" t="0" r="0" b="9525"/>
                  <wp:wrapNone/>
                  <wp:docPr id="9" name="Image 9" descr="C:\Users\ordinateur\AppData\Local\Microsoft\Windows\Temporary Internet Files\Content.Word\Logo Solidaires 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:\Users\ordinateur\AppData\Local\Microsoft\Windows\Temporary Internet Files\Content.Word\Logo Solidaires N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D66A242" wp14:editId="056B8443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-537845</wp:posOffset>
                  </wp:positionV>
                  <wp:extent cx="857250" cy="847725"/>
                  <wp:effectExtent l="0" t="0" r="0" b="9525"/>
                  <wp:wrapNone/>
                  <wp:docPr id="6" name="Image 7" descr="logo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8.3pt;margin-top:-52.25pt;width:67.95pt;height:87.4pt;z-index:-251658240;visibility:visible;mso-wrap-edited:f;mso-position-horizontal-relative:text;mso-position-vertical-relative:text">
                  <v:imagedata r:id="rId8" o:title=""/>
                </v:shape>
                <o:OLEObject Type="Embed" ProgID="Word.Picture.8" ShapeID="_x0000_s1027" DrawAspect="Content" ObjectID="_1442141054" r:id="rId9"/>
              </w:pict>
            </w:r>
          </w:p>
        </w:tc>
        <w:tc>
          <w:tcPr>
            <w:tcW w:w="3969" w:type="dxa"/>
            <w:shd w:val="clear" w:color="auto" w:fill="auto"/>
          </w:tcPr>
          <w:p w:rsidR="006F429D" w:rsidRPr="006F429D" w:rsidRDefault="006A0F5C" w:rsidP="002D331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41C5A04" wp14:editId="4EB5F590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-537845</wp:posOffset>
                  </wp:positionV>
                  <wp:extent cx="720090" cy="876300"/>
                  <wp:effectExtent l="0" t="0" r="3810" b="0"/>
                  <wp:wrapNone/>
                  <wp:docPr id="8" name="Image 5" descr="logo_f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_f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0F5C" w:rsidRDefault="006A0F5C" w:rsidP="006F429D">
      <w:pPr>
        <w:spacing w:after="240"/>
        <w:rPr>
          <w:rFonts w:ascii="Trebuchet MS" w:hAnsi="Trebuchet MS"/>
          <w:sz w:val="24"/>
          <w:szCs w:val="24"/>
        </w:rPr>
      </w:pPr>
    </w:p>
    <w:p w:rsidR="006F429D" w:rsidRPr="00EE610F" w:rsidRDefault="006F429D" w:rsidP="006F429D">
      <w:pPr>
        <w:spacing w:after="240"/>
        <w:rPr>
          <w:rFonts w:ascii="Trebuchet MS" w:hAnsi="Trebuchet MS"/>
          <w:szCs w:val="24"/>
        </w:rPr>
      </w:pPr>
      <w:r w:rsidRPr="00EE610F">
        <w:rPr>
          <w:rFonts w:ascii="Trebuchet MS" w:hAnsi="Trebuchet MS"/>
          <w:szCs w:val="24"/>
        </w:rPr>
        <w:t xml:space="preserve">Mesdames </w:t>
      </w:r>
      <w:r>
        <w:rPr>
          <w:rFonts w:ascii="Trebuchet MS" w:hAnsi="Trebuchet MS"/>
          <w:szCs w:val="24"/>
        </w:rPr>
        <w:t xml:space="preserve">et Messieurs les </w:t>
      </w:r>
      <w:r w:rsidR="006A0F5C">
        <w:rPr>
          <w:rFonts w:ascii="Trebuchet MS" w:hAnsi="Trebuchet MS"/>
          <w:szCs w:val="24"/>
        </w:rPr>
        <w:t>P</w:t>
      </w:r>
      <w:r w:rsidR="006A0F5C" w:rsidRPr="00EE610F">
        <w:rPr>
          <w:rFonts w:ascii="Trebuchet MS" w:hAnsi="Trebuchet MS"/>
          <w:szCs w:val="24"/>
        </w:rPr>
        <w:t>arlementaires</w:t>
      </w:r>
      <w:r w:rsidRPr="00EE610F">
        <w:rPr>
          <w:rFonts w:ascii="Trebuchet MS" w:hAnsi="Trebuchet MS"/>
          <w:szCs w:val="24"/>
        </w:rPr>
        <w:t>,</w:t>
      </w:r>
    </w:p>
    <w:p w:rsidR="006F429D" w:rsidRDefault="006F429D" w:rsidP="006F429D">
      <w:pPr>
        <w:spacing w:after="240"/>
        <w:jc w:val="both"/>
        <w:rPr>
          <w:rFonts w:ascii="Trebuchet MS" w:hAnsi="Trebuchet MS"/>
          <w:szCs w:val="24"/>
        </w:rPr>
      </w:pPr>
      <w:r w:rsidRPr="00EE610F">
        <w:rPr>
          <w:rFonts w:ascii="Trebuchet MS" w:hAnsi="Trebuchet MS"/>
          <w:szCs w:val="24"/>
        </w:rPr>
        <w:t>Vous allez examiner à partir d</w:t>
      </w:r>
      <w:r>
        <w:rPr>
          <w:rFonts w:ascii="Trebuchet MS" w:hAnsi="Trebuchet MS"/>
          <w:szCs w:val="24"/>
        </w:rPr>
        <w:t xml:space="preserve">'aujourd'hui le </w:t>
      </w:r>
      <w:r w:rsidRPr="00EE610F">
        <w:rPr>
          <w:rFonts w:ascii="Trebuchet MS" w:hAnsi="Trebuchet MS"/>
          <w:szCs w:val="24"/>
        </w:rPr>
        <w:t>projet de loi portant réforme de notre système de retraite. Ce projet a été précédé, du 5 juillet au 26 août</w:t>
      </w:r>
      <w:r>
        <w:rPr>
          <w:rFonts w:ascii="Trebuchet MS" w:hAnsi="Trebuchet MS"/>
          <w:szCs w:val="24"/>
        </w:rPr>
        <w:t xml:space="preserve"> 2013</w:t>
      </w:r>
      <w:r w:rsidRPr="00EE610F">
        <w:rPr>
          <w:rFonts w:ascii="Trebuchet MS" w:hAnsi="Trebuchet MS"/>
          <w:szCs w:val="24"/>
        </w:rPr>
        <w:t>, par une consultation en bilatérales des acteurs sociaux. Pour l</w:t>
      </w:r>
      <w:r>
        <w:rPr>
          <w:rFonts w:ascii="Trebuchet MS" w:hAnsi="Trebuchet MS"/>
          <w:szCs w:val="24"/>
        </w:rPr>
        <w:t>es organisations syndicales départementales</w:t>
      </w:r>
      <w:r w:rsidRPr="00EE610F">
        <w:rPr>
          <w:rFonts w:ascii="Trebuchet MS" w:hAnsi="Trebuchet MS"/>
          <w:szCs w:val="24"/>
        </w:rPr>
        <w:t xml:space="preserve"> CGT</w:t>
      </w:r>
      <w:r>
        <w:rPr>
          <w:rFonts w:ascii="Trebuchet MS" w:hAnsi="Trebuchet MS"/>
          <w:szCs w:val="24"/>
        </w:rPr>
        <w:t>, FO, Solidaires et FSU</w:t>
      </w:r>
      <w:r w:rsidRPr="00EE610F">
        <w:rPr>
          <w:rFonts w:ascii="Trebuchet MS" w:hAnsi="Trebuchet MS"/>
          <w:szCs w:val="24"/>
        </w:rPr>
        <w:t>, la question de nos retraites</w:t>
      </w:r>
      <w:r>
        <w:rPr>
          <w:rFonts w:ascii="Trebuchet MS" w:hAnsi="Trebuchet MS"/>
          <w:szCs w:val="24"/>
        </w:rPr>
        <w:t>,</w:t>
      </w:r>
      <w:r w:rsidRPr="00EE610F">
        <w:rPr>
          <w:rFonts w:ascii="Trebuchet MS" w:hAnsi="Trebuchet MS"/>
          <w:szCs w:val="24"/>
        </w:rPr>
        <w:t xml:space="preserve"> et plus largement de notre système de protection sociale</w:t>
      </w:r>
      <w:r>
        <w:rPr>
          <w:rFonts w:ascii="Trebuchet MS" w:hAnsi="Trebuchet MS"/>
          <w:szCs w:val="24"/>
        </w:rPr>
        <w:t>,</w:t>
      </w:r>
      <w:r w:rsidRPr="00EE610F">
        <w:rPr>
          <w:rFonts w:ascii="Trebuchet MS" w:hAnsi="Trebuchet MS"/>
          <w:szCs w:val="24"/>
        </w:rPr>
        <w:t xml:space="preserve"> concerne l’ensemble des salariés et des citoyens, et doit donc faire l’objet d’un large débat de société. </w:t>
      </w:r>
    </w:p>
    <w:p w:rsidR="006F429D" w:rsidRDefault="006F429D" w:rsidP="006F429D">
      <w:pPr>
        <w:numPr>
          <w:ilvl w:val="0"/>
          <w:numId w:val="2"/>
        </w:num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Malgré les manifestations du 10 septembre, beaucoup plus importantes que les médias ont voulu le faire croire,</w:t>
      </w:r>
    </w:p>
    <w:p w:rsidR="006F429D" w:rsidRDefault="006F429D" w:rsidP="006F429D">
      <w:pPr>
        <w:numPr>
          <w:ilvl w:val="0"/>
          <w:numId w:val="2"/>
        </w:num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Malgré les argumentaires et propositions des organisations </w:t>
      </w:r>
      <w:r w:rsidR="006A0F5C">
        <w:rPr>
          <w:rFonts w:ascii="Trebuchet MS" w:hAnsi="Trebuchet MS"/>
          <w:szCs w:val="24"/>
        </w:rPr>
        <w:t>syndicales,</w:t>
      </w:r>
    </w:p>
    <w:p w:rsidR="006F429D" w:rsidRDefault="006F429D" w:rsidP="006F429D">
      <w:pPr>
        <w:numPr>
          <w:ilvl w:val="0"/>
          <w:numId w:val="2"/>
        </w:num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Malgré l'inquiétude et l’hostilité de l'opinion publique au projet de loi,</w:t>
      </w:r>
    </w:p>
    <w:p w:rsidR="006F429D" w:rsidRDefault="00BD4F0F" w:rsidP="006F429D">
      <w:p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E</w:t>
      </w:r>
      <w:r w:rsidR="006F429D">
        <w:rPr>
          <w:rFonts w:ascii="Trebuchet MS" w:hAnsi="Trebuchet MS"/>
          <w:szCs w:val="24"/>
        </w:rPr>
        <w:t>t alors que d'autres voies sont possibles, le Premier Ministre s'entête à vouloir faire passer sa réforme qui s'intègre dans la politique d'austérité menée par le Gouvernement.</w:t>
      </w:r>
    </w:p>
    <w:p w:rsidR="006F429D" w:rsidRDefault="006F429D" w:rsidP="006F429D">
      <w:p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Le</w:t>
      </w:r>
      <w:r w:rsidRPr="00EE610F">
        <w:rPr>
          <w:rFonts w:ascii="Trebuchet MS" w:hAnsi="Trebuchet MS"/>
          <w:szCs w:val="24"/>
        </w:rPr>
        <w:t xml:space="preserve"> projet de loi qui vous est soumis ne correspond ni aux attentes de la majorité des salariés, ni aux propositions de</w:t>
      </w:r>
      <w:r>
        <w:rPr>
          <w:rFonts w:ascii="Trebuchet MS" w:hAnsi="Trebuchet MS"/>
          <w:szCs w:val="24"/>
        </w:rPr>
        <w:t>s organisations syndicales</w:t>
      </w:r>
      <w:r w:rsidRPr="00EE610F">
        <w:rPr>
          <w:rFonts w:ascii="Trebuchet MS" w:hAnsi="Trebuchet MS"/>
          <w:szCs w:val="24"/>
        </w:rPr>
        <w:t>.</w:t>
      </w:r>
    </w:p>
    <w:p w:rsidR="006F429D" w:rsidRPr="00EE610F" w:rsidRDefault="006F429D" w:rsidP="006F429D">
      <w:p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Il est</w:t>
      </w:r>
      <w:r w:rsidRPr="00EE610F">
        <w:rPr>
          <w:rFonts w:ascii="Trebuchet MS" w:hAnsi="Trebuchet MS"/>
          <w:szCs w:val="24"/>
        </w:rPr>
        <w:t xml:space="preserve"> injuste et inéquitable</w:t>
      </w:r>
      <w:r>
        <w:rPr>
          <w:rFonts w:ascii="Trebuchet MS" w:hAnsi="Trebuchet MS"/>
          <w:szCs w:val="24"/>
        </w:rPr>
        <w:t> :</w:t>
      </w:r>
      <w:r w:rsidRPr="00EE610F">
        <w:rPr>
          <w:rFonts w:ascii="Trebuchet MS" w:hAnsi="Trebuchet MS"/>
          <w:szCs w:val="24"/>
        </w:rPr>
        <w:t xml:space="preserve"> </w:t>
      </w:r>
    </w:p>
    <w:p w:rsidR="006F429D" w:rsidRPr="00EE610F" w:rsidRDefault="006F429D" w:rsidP="006F429D">
      <w:pPr>
        <w:numPr>
          <w:ilvl w:val="0"/>
          <w:numId w:val="1"/>
        </w:numPr>
        <w:spacing w:after="240" w:line="240" w:lineRule="auto"/>
        <w:jc w:val="both"/>
        <w:rPr>
          <w:rFonts w:ascii="Trebuchet MS" w:hAnsi="Trebuchet MS"/>
          <w:szCs w:val="24"/>
        </w:rPr>
      </w:pPr>
      <w:r w:rsidRPr="00EE610F">
        <w:rPr>
          <w:rFonts w:ascii="Trebuchet MS" w:hAnsi="Trebuchet MS"/>
          <w:b/>
          <w:szCs w:val="24"/>
        </w:rPr>
        <w:t>Injuste</w:t>
      </w:r>
      <w:r w:rsidRPr="00EE610F">
        <w:rPr>
          <w:rFonts w:ascii="Trebuchet MS" w:hAnsi="Trebuchet MS"/>
          <w:szCs w:val="24"/>
        </w:rPr>
        <w:t xml:space="preserve"> car l’allongement de la durée de cotisation va pénaliser en particulier les jeunes et les femmes</w:t>
      </w:r>
      <w:r>
        <w:rPr>
          <w:rFonts w:ascii="Trebuchet MS" w:hAnsi="Trebuchet MS"/>
          <w:szCs w:val="24"/>
        </w:rPr>
        <w:t>. De plus,</w:t>
      </w:r>
      <w:r w:rsidRPr="00EE610F">
        <w:rPr>
          <w:rFonts w:ascii="Trebuchet MS" w:hAnsi="Trebuchet MS"/>
          <w:szCs w:val="24"/>
        </w:rPr>
        <w:t xml:space="preserve"> en éloignant la perspective d’une retraite complète,</w:t>
      </w:r>
      <w:r>
        <w:rPr>
          <w:rFonts w:ascii="Trebuchet MS" w:hAnsi="Trebuchet MS"/>
          <w:szCs w:val="24"/>
        </w:rPr>
        <w:t xml:space="preserve"> il</w:t>
      </w:r>
      <w:r w:rsidRPr="00EE610F">
        <w:rPr>
          <w:rFonts w:ascii="Trebuchet MS" w:hAnsi="Trebuchet MS"/>
          <w:szCs w:val="24"/>
        </w:rPr>
        <w:t xml:space="preserve"> viendra encore dégrader le </w:t>
      </w:r>
      <w:bookmarkStart w:id="0" w:name="_GoBack"/>
      <w:bookmarkEnd w:id="0"/>
      <w:r w:rsidRPr="00EE610F">
        <w:rPr>
          <w:rFonts w:ascii="Trebuchet MS" w:hAnsi="Trebuchet MS"/>
          <w:szCs w:val="24"/>
        </w:rPr>
        <w:t>montant des pensions.</w:t>
      </w:r>
    </w:p>
    <w:p w:rsidR="006F429D" w:rsidRPr="00EE610F" w:rsidRDefault="006F429D" w:rsidP="006F429D">
      <w:pPr>
        <w:numPr>
          <w:ilvl w:val="0"/>
          <w:numId w:val="1"/>
        </w:numPr>
        <w:spacing w:after="240" w:line="240" w:lineRule="auto"/>
        <w:jc w:val="both"/>
        <w:rPr>
          <w:rFonts w:ascii="Trebuchet MS" w:hAnsi="Trebuchet MS"/>
          <w:szCs w:val="24"/>
        </w:rPr>
      </w:pPr>
      <w:r w:rsidRPr="00EE610F">
        <w:rPr>
          <w:rFonts w:ascii="Trebuchet MS" w:hAnsi="Trebuchet MS"/>
          <w:b/>
          <w:szCs w:val="24"/>
        </w:rPr>
        <w:t xml:space="preserve">Inéquitable </w:t>
      </w:r>
      <w:r w:rsidRPr="00EE610F">
        <w:rPr>
          <w:rFonts w:ascii="Trebuchet MS" w:hAnsi="Trebuchet MS"/>
          <w:szCs w:val="24"/>
        </w:rPr>
        <w:t>car il fait peser l’ensemble des efforts de financement sur les salariés et les retraités. Les salariés v</w:t>
      </w:r>
      <w:r>
        <w:rPr>
          <w:rFonts w:ascii="Trebuchet MS" w:hAnsi="Trebuchet MS"/>
          <w:szCs w:val="24"/>
        </w:rPr>
        <w:t>erraient</w:t>
      </w:r>
      <w:r w:rsidRPr="00EE610F">
        <w:rPr>
          <w:rFonts w:ascii="Trebuchet MS" w:hAnsi="Trebuchet MS"/>
          <w:szCs w:val="24"/>
        </w:rPr>
        <w:t xml:space="preserve"> leurs cotisations augmenter, les retraités leur pension baisser du fait du report de 6 mois de la revalorisation annuelle des pensions. Le patronat</w:t>
      </w:r>
      <w:r>
        <w:rPr>
          <w:rFonts w:ascii="Trebuchet MS" w:hAnsi="Trebuchet MS"/>
          <w:szCs w:val="24"/>
        </w:rPr>
        <w:t>,</w:t>
      </w:r>
      <w:r w:rsidRPr="00EE610F">
        <w:rPr>
          <w:rFonts w:ascii="Trebuchet MS" w:hAnsi="Trebuchet MS"/>
          <w:szCs w:val="24"/>
        </w:rPr>
        <w:t xml:space="preserve"> par contre</w:t>
      </w:r>
      <w:r>
        <w:rPr>
          <w:rFonts w:ascii="Trebuchet MS" w:hAnsi="Trebuchet MS"/>
          <w:szCs w:val="24"/>
        </w:rPr>
        <w:t>,</w:t>
      </w:r>
      <w:r w:rsidRPr="00EE610F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obtient</w:t>
      </w:r>
      <w:r w:rsidRPr="00EE610F">
        <w:rPr>
          <w:rFonts w:ascii="Trebuchet MS" w:hAnsi="Trebuchet MS"/>
          <w:szCs w:val="24"/>
        </w:rPr>
        <w:t xml:space="preserve"> une compensation immédiate et intégrale du financement des mesures de pénibilité.</w:t>
      </w:r>
    </w:p>
    <w:p w:rsidR="006F429D" w:rsidRPr="00EE610F" w:rsidRDefault="006F429D" w:rsidP="006F429D">
      <w:pPr>
        <w:spacing w:after="240"/>
        <w:jc w:val="both"/>
        <w:rPr>
          <w:rFonts w:ascii="Trebuchet MS" w:hAnsi="Trebuchet MS"/>
          <w:szCs w:val="24"/>
        </w:rPr>
      </w:pPr>
      <w:r w:rsidRPr="00EE610F">
        <w:rPr>
          <w:rFonts w:ascii="Trebuchet MS" w:hAnsi="Trebuchet MS"/>
          <w:szCs w:val="24"/>
        </w:rPr>
        <w:t xml:space="preserve">Cette réforme va donc encore une fois </w:t>
      </w:r>
      <w:r>
        <w:rPr>
          <w:rFonts w:ascii="Trebuchet MS" w:hAnsi="Trebuchet MS"/>
          <w:szCs w:val="24"/>
        </w:rPr>
        <w:t xml:space="preserve">répondre aux injonctions du MEDEF au détriment des revendications des salariés et retraités. Elle tourne le dos aux objectifs de justice sociale. </w:t>
      </w:r>
    </w:p>
    <w:p w:rsidR="006F429D" w:rsidRDefault="006F429D" w:rsidP="006F429D">
      <w:pPr>
        <w:spacing w:after="240"/>
        <w:jc w:val="both"/>
        <w:rPr>
          <w:rFonts w:ascii="Trebuchet MS" w:hAnsi="Trebuchet MS"/>
          <w:szCs w:val="24"/>
        </w:rPr>
      </w:pPr>
      <w:r w:rsidRPr="00EE610F">
        <w:rPr>
          <w:rFonts w:ascii="Trebuchet MS" w:hAnsi="Trebuchet MS"/>
          <w:szCs w:val="24"/>
        </w:rPr>
        <w:t xml:space="preserve">Lors de la </w:t>
      </w:r>
      <w:r>
        <w:rPr>
          <w:rFonts w:ascii="Trebuchet MS" w:hAnsi="Trebuchet MS"/>
          <w:szCs w:val="24"/>
        </w:rPr>
        <w:t>dernière</w:t>
      </w:r>
      <w:r w:rsidRPr="00EE610F">
        <w:rPr>
          <w:rFonts w:ascii="Trebuchet MS" w:hAnsi="Trebuchet MS"/>
          <w:szCs w:val="24"/>
        </w:rPr>
        <w:t xml:space="preserve"> réforme des retraites en 2010, de nombreux parlementaires </w:t>
      </w:r>
      <w:r>
        <w:rPr>
          <w:rFonts w:ascii="Trebuchet MS" w:hAnsi="Trebuchet MS"/>
          <w:szCs w:val="24"/>
        </w:rPr>
        <w:t xml:space="preserve">dont vous même </w:t>
      </w:r>
      <w:proofErr w:type="gramStart"/>
      <w:r>
        <w:rPr>
          <w:rFonts w:ascii="Trebuchet MS" w:hAnsi="Trebuchet MS"/>
          <w:szCs w:val="24"/>
        </w:rPr>
        <w:t>peut</w:t>
      </w:r>
      <w:proofErr w:type="gramEnd"/>
      <w:r>
        <w:rPr>
          <w:rFonts w:ascii="Trebuchet MS" w:hAnsi="Trebuchet MS"/>
          <w:szCs w:val="24"/>
        </w:rPr>
        <w:t xml:space="preserve"> être, </w:t>
      </w:r>
      <w:r w:rsidRPr="00EE610F">
        <w:rPr>
          <w:rFonts w:ascii="Trebuchet MS" w:hAnsi="Trebuchet MS"/>
          <w:szCs w:val="24"/>
        </w:rPr>
        <w:t xml:space="preserve">s’étaient mobilisés pour défendre le droit à la retraite à 60 ans et prouver qu’une autre réforme était possible. </w:t>
      </w:r>
    </w:p>
    <w:p w:rsidR="006F429D" w:rsidRDefault="006F429D" w:rsidP="006F429D">
      <w:p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Nous entendons donc compter dans ce</w:t>
      </w:r>
      <w:r w:rsidRPr="00EE610F">
        <w:rPr>
          <w:rFonts w:ascii="Trebuchet MS" w:hAnsi="Trebuchet MS"/>
          <w:szCs w:val="24"/>
        </w:rPr>
        <w:t xml:space="preserve"> débat parlementaire</w:t>
      </w:r>
      <w:r>
        <w:rPr>
          <w:rFonts w:ascii="Trebuchet MS" w:hAnsi="Trebuchet MS"/>
          <w:szCs w:val="24"/>
        </w:rPr>
        <w:t xml:space="preserve"> et être entendu</w:t>
      </w:r>
      <w:r w:rsidRPr="00EE610F">
        <w:rPr>
          <w:rFonts w:ascii="Trebuchet MS" w:hAnsi="Trebuchet MS"/>
          <w:szCs w:val="24"/>
        </w:rPr>
        <w:t>.</w:t>
      </w:r>
    </w:p>
    <w:p w:rsidR="006F429D" w:rsidRPr="00EE5337" w:rsidRDefault="006F429D" w:rsidP="006F429D">
      <w:pPr>
        <w:spacing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Veuillez agréer, Mesdames, Messieurs les parlementaires, </w:t>
      </w:r>
      <w:r>
        <w:rPr>
          <w:rFonts w:ascii="Trebuchet MS" w:hAnsi="Trebuchet MS"/>
          <w:szCs w:val="24"/>
        </w:rPr>
        <w:t>nos salutations distinguées.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A0F5C" w:rsidTr="006A0F5C">
        <w:tc>
          <w:tcPr>
            <w:tcW w:w="3070" w:type="dxa"/>
          </w:tcPr>
          <w:p w:rsidR="006A0F5C" w:rsidRDefault="006A0F5C">
            <w:r>
              <w:t>Nom</w:t>
            </w:r>
          </w:p>
        </w:tc>
        <w:tc>
          <w:tcPr>
            <w:tcW w:w="3070" w:type="dxa"/>
          </w:tcPr>
          <w:p w:rsidR="006A0F5C" w:rsidRDefault="006A0F5C">
            <w:r>
              <w:t>prénom</w:t>
            </w:r>
          </w:p>
        </w:tc>
        <w:tc>
          <w:tcPr>
            <w:tcW w:w="3070" w:type="dxa"/>
          </w:tcPr>
          <w:p w:rsidR="006A0F5C" w:rsidRDefault="006A0F5C">
            <w:r>
              <w:t>signature</w:t>
            </w:r>
          </w:p>
        </w:tc>
      </w:tr>
      <w:tr w:rsidR="006A0F5C" w:rsidTr="006A0F5C">
        <w:tc>
          <w:tcPr>
            <w:tcW w:w="3070" w:type="dxa"/>
          </w:tcPr>
          <w:p w:rsidR="006A0F5C" w:rsidRDefault="006A0F5C"/>
        </w:tc>
        <w:tc>
          <w:tcPr>
            <w:tcW w:w="3070" w:type="dxa"/>
          </w:tcPr>
          <w:p w:rsidR="006A0F5C" w:rsidRDefault="006A0F5C"/>
        </w:tc>
        <w:tc>
          <w:tcPr>
            <w:tcW w:w="3070" w:type="dxa"/>
          </w:tcPr>
          <w:p w:rsidR="006A0F5C" w:rsidRDefault="006A0F5C"/>
        </w:tc>
      </w:tr>
    </w:tbl>
    <w:p w:rsidR="00E23C0E" w:rsidRDefault="00E23C0E"/>
    <w:sectPr w:rsidR="00E23C0E" w:rsidSect="006A0F5C">
      <w:headerReference w:type="default" r:id="rId11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55" w:rsidRDefault="00BD4F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B19"/>
    <w:multiLevelType w:val="hybridMultilevel"/>
    <w:tmpl w:val="13945C6A"/>
    <w:lvl w:ilvl="0" w:tplc="82A6B1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416DB"/>
    <w:multiLevelType w:val="hybridMultilevel"/>
    <w:tmpl w:val="23363E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D"/>
    <w:rsid w:val="00392911"/>
    <w:rsid w:val="006A0F5C"/>
    <w:rsid w:val="006F429D"/>
    <w:rsid w:val="00BD4F0F"/>
    <w:rsid w:val="00E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9D"/>
    <w:pPr>
      <w:spacing w:after="20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9D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6A0F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9D"/>
    <w:pPr>
      <w:spacing w:after="20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9D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6A0F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cp:lastPrinted>2013-10-01T08:05:00Z</cp:lastPrinted>
  <dcterms:created xsi:type="dcterms:W3CDTF">2013-10-01T07:51:00Z</dcterms:created>
  <dcterms:modified xsi:type="dcterms:W3CDTF">2013-10-01T11:58:00Z</dcterms:modified>
</cp:coreProperties>
</file>